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1FB7F6F4" w:rsidR="00FD0711" w:rsidRPr="00815C58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E6DA6F4" w14:textId="04B3F6EB" w:rsidR="00D71595" w:rsidRPr="00815C58" w:rsidRDefault="00C74CAA" w:rsidP="00BE54B8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74CAA">
        <w:rPr>
          <w:rFonts w:ascii="Times New Roman" w:hAnsi="Times New Roman"/>
          <w:b/>
          <w:caps/>
          <w:sz w:val="24"/>
          <w:szCs w:val="24"/>
        </w:rPr>
        <w:t>Metode și tehnici de învățare eficientă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BA7CC6"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05E4ACEB" w14:textId="2BD7B566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032DD1">
        <w:trPr>
          <w:trHeight w:val="496"/>
        </w:trPr>
        <w:tc>
          <w:tcPr>
            <w:tcW w:w="3823" w:type="dxa"/>
          </w:tcPr>
          <w:p w14:paraId="30CA5C22" w14:textId="51A50FB8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14:paraId="5E3D56FF" w14:textId="18B93750" w:rsidR="00FD0711" w:rsidRPr="00673B71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673B71">
              <w:rPr>
                <w:sz w:val="24"/>
                <w:szCs w:val="24"/>
              </w:rPr>
              <w:t xml:space="preserve">/ </w:t>
            </w:r>
            <w:r w:rsidR="00673B71" w:rsidRPr="00673B71">
              <w:rPr>
                <w:sz w:val="24"/>
                <w:szCs w:val="24"/>
              </w:rPr>
              <w:t>Centrul Universitar Pitești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15BB22CA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AE9DBFF" w:rsidR="00FD0711" w:rsidRPr="00F010FE" w:rsidRDefault="0063353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="00C57418" w:rsidRPr="00C116E4" w14:paraId="574A0553" w14:textId="77777777" w:rsidTr="004F426F">
        <w:tc>
          <w:tcPr>
            <w:tcW w:w="3823" w:type="dxa"/>
          </w:tcPr>
          <w:p w14:paraId="6B93773D" w14:textId="6FA1D30C" w:rsidR="00C57418" w:rsidRPr="00850EF4" w:rsidRDefault="00C57418" w:rsidP="00C5741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5126D639" w:rsidR="00C57418" w:rsidRPr="00F010FE" w:rsidRDefault="00C57418" w:rsidP="00C57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1F4DF5" w:rsidRPr="00C116E4" w14:paraId="56B65CAC" w14:textId="77777777" w:rsidTr="004F426F">
        <w:tc>
          <w:tcPr>
            <w:tcW w:w="3823" w:type="dxa"/>
          </w:tcPr>
          <w:p w14:paraId="4DBB2F4C" w14:textId="17651D53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7895D75C" w:rsidR="001F4DF5" w:rsidRPr="00364C7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1F4DF5" w:rsidRPr="00C116E4" w14:paraId="06D8832E" w14:textId="77777777" w:rsidTr="004F426F">
        <w:tc>
          <w:tcPr>
            <w:tcW w:w="3823" w:type="dxa"/>
          </w:tcPr>
          <w:p w14:paraId="45BF625A" w14:textId="64CEC4A6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46DCFE0F" w:rsidR="001F4DF5" w:rsidRPr="00F010FE" w:rsidRDefault="00A64E8A" w:rsidP="00600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="001F4DF5" w:rsidRPr="00C116E4" w14:paraId="364B4DCD" w14:textId="77777777" w:rsidTr="004F426F">
        <w:tc>
          <w:tcPr>
            <w:tcW w:w="3823" w:type="dxa"/>
          </w:tcPr>
          <w:p w14:paraId="2D0E1983" w14:textId="1B044C64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563BFC08" w:rsidR="001F4DF5" w:rsidRPr="00364C75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1F4DF5" w:rsidRPr="00C116E4" w14:paraId="456B9D7C" w14:textId="77777777" w:rsidTr="004F426F">
        <w:tc>
          <w:tcPr>
            <w:tcW w:w="3823" w:type="dxa"/>
          </w:tcPr>
          <w:p w14:paraId="78642FEF" w14:textId="2905D49C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368FCB00" w14:textId="020F6A5F" w:rsidR="001F4DF5" w:rsidRPr="00364C7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1F4DF5" w:rsidRPr="00C116E4" w14:paraId="375B37EE" w14:textId="77777777" w:rsidTr="004F426F">
        <w:tc>
          <w:tcPr>
            <w:tcW w:w="3823" w:type="dxa"/>
          </w:tcPr>
          <w:p w14:paraId="62A6CD0E" w14:textId="04F1D0CE" w:rsidR="001F4DF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34157CA3" w14:textId="57694BC2" w:rsidR="001F4DF5" w:rsidRPr="00F010FE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2916E14F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="00FD0711" w:rsidRPr="0007194F" w14:paraId="57E36C1D" w14:textId="77777777" w:rsidTr="008D0DB9">
        <w:tc>
          <w:tcPr>
            <w:tcW w:w="2846" w:type="dxa"/>
            <w:gridSpan w:val="3"/>
          </w:tcPr>
          <w:p w14:paraId="61BD6346" w14:textId="1519858F" w:rsidR="00532F3D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</w:tcPr>
          <w:p w14:paraId="3996590F" w14:textId="6490D355" w:rsidR="001F003F" w:rsidRPr="00CF66B7" w:rsidRDefault="00421BC5" w:rsidP="00BE5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1BC5">
              <w:rPr>
                <w:rFonts w:ascii="Times New Roman" w:hAnsi="Times New Roman"/>
                <w:sz w:val="24"/>
                <w:szCs w:val="24"/>
              </w:rPr>
              <w:t>Metode și tehnici de învățare eficientă</w:t>
            </w:r>
          </w:p>
        </w:tc>
      </w:tr>
      <w:tr w:rsidR="00FD0711" w:rsidRPr="0007194F" w14:paraId="3B211D2A" w14:textId="77777777" w:rsidTr="008D0DB9">
        <w:tc>
          <w:tcPr>
            <w:tcW w:w="4449" w:type="dxa"/>
            <w:gridSpan w:val="5"/>
          </w:tcPr>
          <w:p w14:paraId="4AB7824E" w14:textId="7BD09FF2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</w:tcPr>
          <w:p w14:paraId="7D0EC825" w14:textId="360F1E38" w:rsidR="00FD0711" w:rsidRPr="0007194F" w:rsidRDefault="00013988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Dumitru Cristina</w:t>
            </w:r>
            <w:r w:rsidR="00032DD1">
              <w:rPr>
                <w:rFonts w:ascii="Times New Roman" w:hAnsi="Times New Roman"/>
                <w:sz w:val="24"/>
                <w:szCs w:val="24"/>
              </w:rPr>
              <w:t>, Ionescu Eduard Claudiu</w:t>
            </w:r>
          </w:p>
        </w:tc>
      </w:tr>
      <w:tr w:rsidR="00032DD1" w:rsidRPr="0007194F" w14:paraId="4C0392E2" w14:textId="77777777" w:rsidTr="008D0DB9">
        <w:tc>
          <w:tcPr>
            <w:tcW w:w="4449" w:type="dxa"/>
            <w:gridSpan w:val="5"/>
          </w:tcPr>
          <w:p w14:paraId="0068B97D" w14:textId="6445D94E" w:rsidR="00032DD1" w:rsidRPr="00085094" w:rsidRDefault="00032DD1" w:rsidP="00032DD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/laborator/proiect</w:t>
            </w:r>
          </w:p>
        </w:tc>
        <w:tc>
          <w:tcPr>
            <w:tcW w:w="5556" w:type="dxa"/>
            <w:gridSpan w:val="5"/>
          </w:tcPr>
          <w:p w14:paraId="4CA0B319" w14:textId="2A2A0390" w:rsidR="00032DD1" w:rsidRPr="0007194F" w:rsidRDefault="00032DD1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Dumitru Cristina, Ionescu Eduard Claudiu</w:t>
            </w:r>
          </w:p>
        </w:tc>
      </w:tr>
      <w:tr w:rsidR="00032DD1" w:rsidRPr="0007194F" w14:paraId="3BE3C0BE" w14:textId="77777777" w:rsidTr="008D0DB9">
        <w:tc>
          <w:tcPr>
            <w:tcW w:w="1980" w:type="dxa"/>
          </w:tcPr>
          <w:p w14:paraId="4026D74C" w14:textId="0418117D" w:rsidR="00032DD1" w:rsidRPr="00251256" w:rsidRDefault="00032DD1" w:rsidP="00032DD1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14:paraId="2D1E475E" w14:textId="2C6EF3D1" w:rsidR="00032DD1" w:rsidRPr="00251256" w:rsidRDefault="00C82769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7DA4A2EF" w14:textId="2E0A8A16" w:rsidR="00032DD1" w:rsidRPr="00251256" w:rsidRDefault="00032DD1" w:rsidP="00032DD1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</w:tcPr>
          <w:p w14:paraId="300B9719" w14:textId="1CD80DC0" w:rsidR="00032DD1" w:rsidRPr="00251256" w:rsidRDefault="00C82769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127" w:type="dxa"/>
          </w:tcPr>
          <w:p w14:paraId="47B05FB1" w14:textId="36778D2B" w:rsidR="00032DD1" w:rsidRPr="00251256" w:rsidRDefault="00032DD1" w:rsidP="00032DD1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</w:tcPr>
          <w:p w14:paraId="5453D953" w14:textId="0A43109A" w:rsidR="00032DD1" w:rsidRPr="00251256" w:rsidRDefault="00BD0572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</w:tcPr>
          <w:p w14:paraId="2FC51EB1" w14:textId="236F7D7E" w:rsidR="00032DD1" w:rsidRPr="00251256" w:rsidRDefault="00032DD1" w:rsidP="00032DD1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</w:tcPr>
          <w:p w14:paraId="38374877" w14:textId="6A81431A" w:rsidR="00032DD1" w:rsidRPr="00251256" w:rsidRDefault="00032DD1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O</w:t>
            </w:r>
            <w:r w:rsidR="00575ADC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  <w:tr w:rsidR="00032DD1" w:rsidRPr="00C116E4" w14:paraId="14E46E6F" w14:textId="24CDA01A" w:rsidTr="008D0DB9">
        <w:tc>
          <w:tcPr>
            <w:tcW w:w="2547" w:type="dxa"/>
            <w:gridSpan w:val="2"/>
          </w:tcPr>
          <w:p w14:paraId="2B6605C0" w14:textId="52FB8177" w:rsidR="00032DD1" w:rsidRPr="00251256" w:rsidRDefault="00032DD1" w:rsidP="00032DD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</w:tcPr>
          <w:p w14:paraId="03F77098" w14:textId="01C2F67C" w:rsidR="00032DD1" w:rsidRPr="00251256" w:rsidRDefault="0095440B" w:rsidP="00032DD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694" w:type="dxa"/>
            <w:gridSpan w:val="3"/>
          </w:tcPr>
          <w:p w14:paraId="46A72287" w14:textId="04C4CAD4" w:rsidR="00032DD1" w:rsidRPr="00251256" w:rsidRDefault="00032DD1" w:rsidP="00032DD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</w:tcPr>
          <w:p w14:paraId="7F83CE32" w14:textId="5BD30463" w:rsidR="00032DD1" w:rsidRPr="00251256" w:rsidRDefault="00961671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1671">
              <w:rPr>
                <w:rFonts w:ascii="Times New Roman" w:hAnsi="Times New Roman"/>
                <w:sz w:val="24"/>
                <w:szCs w:val="24"/>
              </w:rPr>
              <w:t>UPB.21.S.02.A.030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466A500C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="00FD0711" w:rsidRPr="0007194F" w14:paraId="02F8C437" w14:textId="77777777" w:rsidTr="00CF66B7">
        <w:tc>
          <w:tcPr>
            <w:tcW w:w="3681" w:type="dxa"/>
          </w:tcPr>
          <w:p w14:paraId="1DC014CD" w14:textId="778DAA35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6CEAB724" w14:textId="56A7138F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14:paraId="0380C28A" w14:textId="5129CA8A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13302B" w:rsidRP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7DB3CF51" w14:textId="1F3ACC14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14:paraId="7625568D" w14:textId="0F9E7BA5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14:paraId="11765071" w14:textId="697BD940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CF66B7">
        <w:tc>
          <w:tcPr>
            <w:tcW w:w="3681" w:type="dxa"/>
            <w:shd w:val="clear" w:color="auto" w:fill="D9D9D9"/>
          </w:tcPr>
          <w:p w14:paraId="1C8C1832" w14:textId="35FB0357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14:paraId="45890212" w14:textId="78F53054" w:rsidR="00FD0711" w:rsidRPr="0007194F" w:rsidRDefault="0052418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14:paraId="34213718" w14:textId="390B558A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C62788" w:rsidRP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14:paraId="794B634A" w14:textId="4E075B2D" w:rsidR="00FD0711" w:rsidRPr="0007194F" w:rsidRDefault="0052418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1" w:type="dxa"/>
            <w:shd w:val="clear" w:color="auto" w:fill="D9D9D9"/>
          </w:tcPr>
          <w:p w14:paraId="5C2D0A56" w14:textId="02DD5A97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14:paraId="46F27A35" w14:textId="1A8B9B2C" w:rsidR="00FD0711" w:rsidRPr="0007194F" w:rsidRDefault="0052418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6"/>
          </w:tcPr>
          <w:p w14:paraId="439071C8" w14:textId="7C0F0A2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6"/>
          </w:tcPr>
          <w:p w14:paraId="53E38389" w14:textId="1B399FDF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0CB6E670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71F33740" w:rsidR="0065472F" w:rsidRPr="00D85A8D" w:rsidRDefault="0065472F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31CFAC51" w:rsidR="00D42E3A" w:rsidRPr="0007194F" w:rsidRDefault="0096167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6"/>
          </w:tcPr>
          <w:p w14:paraId="7C066D2C" w14:textId="70750485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741F3E3F" w:rsidR="00FD0711" w:rsidRPr="0007194F" w:rsidRDefault="0096167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6"/>
          </w:tcPr>
          <w:p w14:paraId="45BECD94" w14:textId="56F95CA0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440C18F8" w:rsidR="00FD0711" w:rsidRPr="0007194F" w:rsidRDefault="0096167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6"/>
          </w:tcPr>
          <w:p w14:paraId="51A6CC95" w14:textId="6B59E40E" w:rsidR="00A8092B" w:rsidRPr="00301FF6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F26AEBF" w:rsidR="00A8092B" w:rsidRPr="00301FF6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3B3669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1D6A5657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14:paraId="50E327D1" w14:textId="55255A4D" w:rsidR="00FD0711" w:rsidRPr="003B3669" w:rsidRDefault="00961671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FD0711" w:rsidRPr="003B3669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2B6C6CD5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14:paraId="0E134E17" w14:textId="5DCA53B1" w:rsidR="00FD0711" w:rsidRPr="003B3669" w:rsidRDefault="0087780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7E1C337A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14:paraId="32F2FDA1" w14:textId="403E07B3" w:rsidR="00FD0711" w:rsidRPr="007F393B" w:rsidRDefault="0087780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2A35A16B" w14:textId="77777777" w:rsidR="00921D53" w:rsidRDefault="00921D53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3BAB0041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14:paraId="1D7E0122" w14:textId="77777777" w:rsidTr="00C7611C">
        <w:tc>
          <w:tcPr>
            <w:tcW w:w="2830" w:type="dxa"/>
          </w:tcPr>
          <w:p w14:paraId="18C0980C" w14:textId="5FA1F09F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14:paraId="2F95B643" w14:textId="17746306" w:rsidR="00B609FA" w:rsidRPr="00DA522E" w:rsidRDefault="00F477A0" w:rsidP="00F477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 xml:space="preserve">Pentru parcurgerea cu succes a disciplinei Metode și tehnici de învățare eficientă, este recomandat ca studenții să fi acumulat cunoștințe de bază din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lastRenderedPageBreak/>
              <w:t>domeniul psihologiei educației, al teoriei și metodologiei instruirii, precum și din pedagogia generală. Aceste discipline asigură fundamentele necesare înțelegerii proceselor de învățare, a particularităților de vârstă ale beneficiarilor educației și a strategiilor didactice centrate pe elev. Familiarizarea anterioară cu noțiuni privind stilurile de învățare, motivația și autoreglarea în învățare va sprijini o înțelegere aprofundată și aplicativă a conținuturilor din cadrul acestei discipline.</w:t>
            </w:r>
          </w:p>
        </w:tc>
      </w:tr>
      <w:tr w:rsidR="00B609FA" w14:paraId="2114D3A9" w14:textId="77777777" w:rsidTr="00C7611C">
        <w:tc>
          <w:tcPr>
            <w:tcW w:w="2830" w:type="dxa"/>
          </w:tcPr>
          <w:p w14:paraId="05FE3232" w14:textId="2ED8DEC1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14:paraId="720A1B3A" w14:textId="77777777" w:rsidR="00363560" w:rsidRPr="00363560" w:rsidRDefault="00363560" w:rsidP="003635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 Metode și tehnici de învățare eficientă, studenții ar trebui să fi dobândit anterior următoarele rezultate ale învățării:</w:t>
            </w:r>
          </w:p>
          <w:p w14:paraId="60527862" w14:textId="77777777" w:rsidR="00363560" w:rsidRDefault="00363560" w:rsidP="0036356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Cunoașterea conceptelor de bază din psihologia educației, în special a mecanismelor cognitive implicate în procesul de învățare (atenția, memoria, gândirea, motivația);</w:t>
            </w:r>
          </w:p>
          <w:p w14:paraId="5072A50A" w14:textId="77777777" w:rsidR="00363560" w:rsidRDefault="00363560" w:rsidP="0036356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Capacitatea de a recunoaște și descrie diferite stiluri de învățare și factori care influențează performanța școlară;</w:t>
            </w:r>
          </w:p>
          <w:p w14:paraId="064DEFB9" w14:textId="77777777" w:rsidR="00363560" w:rsidRDefault="00363560" w:rsidP="0036356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Familiarizarea cu conceptele fundamentale ale instruirii diferențiate și centrate pe elev;</w:t>
            </w:r>
          </w:p>
          <w:p w14:paraId="237B0B13" w14:textId="77777777" w:rsidR="00363560" w:rsidRDefault="00363560" w:rsidP="0036356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Dezvoltarea competențelor de analiză pedagogică a situațiilor de învățare, inclusiv prin reflecție critică asupra propriei activități didactice.</w:t>
            </w:r>
          </w:p>
          <w:p w14:paraId="03D86E87" w14:textId="18CD9FE0" w:rsidR="008421F0" w:rsidRPr="00363560" w:rsidRDefault="00363560" w:rsidP="0036356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761C2A48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4B08F15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5A790283" w14:textId="26AA4410" w:rsidR="005E11F6" w:rsidRPr="005E11F6" w:rsidRDefault="005E11F6" w:rsidP="005E11F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14:paraId="27C4F652" w14:textId="29281AFF" w:rsidR="005E11F6" w:rsidRPr="005E11F6" w:rsidRDefault="005E11F6" w:rsidP="005E11F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Dispunerea unui spațiu de lucru digital integrat, accesibil tuturor studenților, pentru a susține învățarea colaborativă și schimbul de opinii în cadrul echipelor.</w:t>
            </w:r>
          </w:p>
          <w:p w14:paraId="5A90DC9C" w14:textId="4CEB2457" w:rsidR="005E11F6" w:rsidRPr="005E11F6" w:rsidRDefault="005E11F6" w:rsidP="005E11F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14:paraId="0AF9F6A9" w14:textId="4CD59B23" w:rsidR="005E11F6" w:rsidRPr="005E11F6" w:rsidRDefault="005E11F6" w:rsidP="005E11F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O bună organizare și planificare a activităților pe platforma digitală, cu termene clare și suport tehnic disponibil pentru studenți.</w:t>
            </w:r>
          </w:p>
          <w:p w14:paraId="3202D18E" w14:textId="6E32442A" w:rsidR="00E20BD3" w:rsidRPr="005E11F6" w:rsidRDefault="005E11F6" w:rsidP="005E11F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Încurajarea utilizării resurselor digitale care să susțină dezvoltarea autonomiei în învățare și aplicarea practică a metodelor și tehnicilor studiate.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43DA98D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2F0EEBC4" w14:textId="77777777" w:rsid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14:paraId="6540B74E" w14:textId="4DFE47A2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14:paraId="6927ACB7" w14:textId="2BD7C1D6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lastRenderedPageBreak/>
              <w:t>Materiale didactice actualizate, inclusiv suporturi multimedia și fișe de lucru care să sprijine înțelegerea și aplicarea metodelor studiate.</w:t>
            </w:r>
          </w:p>
          <w:p w14:paraId="21F88D30" w14:textId="02C690A5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Posibilitatea utilizării spațiilor de învățare digitală sau a laboratoarelor multimedia pentru simulări, exerciții practice și studii de caz.</w:t>
            </w:r>
          </w:p>
          <w:p w14:paraId="4528242E" w14:textId="7897AA3D" w:rsidR="005B44A8" w:rsidRPr="005B44A8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14:paraId="540A7438" w14:textId="3000C943" w:rsidR="00D31C96" w:rsidRPr="00B97DD5" w:rsidRDefault="005B44A8" w:rsidP="005B44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1EE6D9" w14:textId="3D514838" w:rsidR="00D31C96" w:rsidRDefault="00D31C96" w:rsidP="008D0DB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14:paraId="0B95CF11" w14:textId="77777777" w:rsidR="00F55DD0" w:rsidRDefault="00F55DD0" w:rsidP="008D0DB9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55DD0">
        <w:rPr>
          <w:rFonts w:ascii="Times New Roman" w:hAnsi="Times New Roman"/>
          <w:sz w:val="24"/>
          <w:szCs w:val="24"/>
        </w:rPr>
        <w:t>Disciplina „Metode și tehnici de învățare eficientă” din cadrul programului de licență Pedagogia Învățământului Primar și Preșcolar are ca scop dezvoltarea competențelor studenților de a înțelege și aplica strategii și tehnici variate de învățare care să optimizeze procesul educațional la vârstele mici. Prin această disciplină, studenții vor dobândi cunoștințe teoretice și abilități practice necesare pentru a sprijini procesul de învățare al elevilor din învățământul primar și preșcolar, adaptând metodele la particularitățile și nevoile individuale ale acestora. De asemenea, se urmărește formarea capacității de a evalua și selecta tehnici eficiente, de a promova auto-reglarea și autonomia învățării, precum și de a crea medii de învățare stimulative, interactive și incluzive.</w:t>
      </w:r>
    </w:p>
    <w:p w14:paraId="57946F55" w14:textId="77777777" w:rsidR="00E05120" w:rsidRDefault="00E05120" w:rsidP="008D0DB9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81229AD" w14:textId="76613E09" w:rsidR="0091383B" w:rsidRPr="00C7611C" w:rsidRDefault="000B3BD0" w:rsidP="00D12241">
      <w:pPr>
        <w:spacing w:after="160" w:line="278" w:lineRule="auto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="00D31C96" w:rsidRPr="00C7611C">
        <w:rPr>
          <w:rFonts w:ascii="Times New Roman" w:hAnsi="Times New Roman"/>
          <w:b/>
          <w:sz w:val="24"/>
          <w:szCs w:val="24"/>
        </w:rPr>
        <w:t>. Rezultatele învă</w:t>
      </w:r>
      <w:r w:rsidR="001B1709" w:rsidRPr="00C7611C">
        <w:rPr>
          <w:rFonts w:ascii="Times New Roman" w:hAnsi="Times New Roman"/>
          <w:b/>
          <w:sz w:val="24"/>
          <w:szCs w:val="24"/>
        </w:rPr>
        <w:t>ț</w:t>
      </w:r>
      <w:r w:rsidR="00D31C96" w:rsidRPr="00C7611C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14:paraId="621ABFCF" w14:textId="449CFD88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41DB272F" w14:textId="5F671479" w:rsidR="0040718D" w:rsidRPr="001B1678" w:rsidRDefault="0040718D" w:rsidP="0040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678">
              <w:rPr>
                <w:rFonts w:ascii="Times New Roman" w:hAnsi="Times New Roman"/>
                <w:sz w:val="24"/>
                <w:szCs w:val="24"/>
              </w:rPr>
              <w:t>La finalul disciplinei, studentul va fi capabil să:</w:t>
            </w:r>
          </w:p>
          <w:p w14:paraId="0DF93903" w14:textId="77777777" w:rsidR="0035333E" w:rsidRDefault="0035333E" w:rsidP="0035333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Descrie principii, modele, metode de corelare a activității de predare-învățare-evaluare în contextul curriculumului național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23A19B" w14:textId="6B806AAA" w:rsidR="0035333E" w:rsidRPr="0035333E" w:rsidRDefault="0035333E" w:rsidP="0035333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>rgumentez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 </w:t>
            </w:r>
          </w:p>
          <w:p w14:paraId="373D44E3" w14:textId="033AA254" w:rsidR="00E20BD3" w:rsidRPr="0035333E" w:rsidRDefault="0035333E" w:rsidP="00A030E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Descrie și compar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metode variate de (auto)evaluare utilizate în sistemul de învățământ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44988092" w14:textId="273E40C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5AC879EE" w14:textId="77777777" w:rsidR="003463E6" w:rsidRPr="003463E6" w:rsidRDefault="003463E6" w:rsidP="003463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E6">
              <w:rPr>
                <w:rFonts w:ascii="Times New Roman" w:hAnsi="Times New Roman"/>
                <w:sz w:val="24"/>
                <w:szCs w:val="24"/>
              </w:rPr>
              <w:t>La finalul disciplinei, studentul va putea să:</w:t>
            </w:r>
          </w:p>
          <w:p w14:paraId="460573E2" w14:textId="77777777" w:rsidR="00241E04" w:rsidRDefault="0035333E" w:rsidP="001D320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Integre</w:t>
            </w:r>
            <w:r>
              <w:rPr>
                <w:rFonts w:ascii="Times New Roman" w:hAnsi="Times New Roman"/>
                <w:sz w:val="24"/>
                <w:szCs w:val="24"/>
              </w:rPr>
              <w:t>ae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resurse și contexte variate cu noile tehnologii pentru diversificarea/extinderea experiențelor educaționale pentru copii/elevi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35F238" w14:textId="38A7DB24" w:rsidR="0035333E" w:rsidRPr="0035333E" w:rsidRDefault="0035333E" w:rsidP="0035333E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Utilizez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F910C7" w14:textId="431074D3" w:rsidR="0035333E" w:rsidRPr="0035333E" w:rsidRDefault="0035333E" w:rsidP="0035333E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Evalue</w:t>
            </w:r>
            <w:r>
              <w:rPr>
                <w:rFonts w:ascii="Times New Roman" w:hAnsi="Times New Roman"/>
                <w:sz w:val="24"/>
                <w:szCs w:val="24"/>
              </w:rPr>
              <w:t>ze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progresul în învățare ale copiilor/elevilor și elaborează modele de interpretare a rezultatelor </w:t>
            </w:r>
          </w:p>
          <w:p w14:paraId="29893D81" w14:textId="5D3EB177" w:rsidR="0035333E" w:rsidRPr="0035333E" w:rsidRDefault="0035333E" w:rsidP="0035333E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Aplic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 integrându-le strategic în activitatea didactică  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A44056B" w14:textId="72CA1605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4B59FE9A" w14:textId="3E80DFA2" w:rsidR="0035333E" w:rsidRPr="0035333E" w:rsidRDefault="002A7986" w:rsidP="003533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986">
              <w:rPr>
                <w:rFonts w:ascii="Times New Roman" w:hAnsi="Times New Roman"/>
                <w:sz w:val="24"/>
                <w:szCs w:val="24"/>
              </w:rPr>
              <w:t>La finalul disciplinei, studentul va demonstra capacitatea de a:</w:t>
            </w:r>
          </w:p>
          <w:p w14:paraId="770E2953" w14:textId="4512AE49" w:rsidR="0035333E" w:rsidRPr="0035333E" w:rsidRDefault="0035333E" w:rsidP="0035333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Își asum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responsabilitatea deciziilor și abordează autonom/independent și critic/creativ complexitatea situațiilor educaționale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E1BAB2" w14:textId="1F0BC217" w:rsidR="0035333E" w:rsidRPr="0035333E" w:rsidRDefault="0035333E" w:rsidP="0035333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Demonstr</w:t>
            </w:r>
            <w:r>
              <w:rPr>
                <w:rFonts w:ascii="Times New Roman" w:hAnsi="Times New Roman"/>
                <w:sz w:val="24"/>
                <w:szCs w:val="24"/>
              </w:rPr>
              <w:t>eze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autonomie și responsabilitate în inițierea, implementarea și evaluarea de programe/proiecte/activități în comunitate </w:t>
            </w:r>
          </w:p>
          <w:p w14:paraId="0F775ADC" w14:textId="3178C929" w:rsidR="0035333E" w:rsidRPr="0035333E" w:rsidRDefault="0035333E" w:rsidP="0035333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Își asum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 </w:t>
            </w:r>
          </w:p>
          <w:p w14:paraId="4E90C458" w14:textId="78B11159" w:rsidR="00EF4811" w:rsidRPr="0035333E" w:rsidRDefault="0035333E" w:rsidP="0035333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33E">
              <w:rPr>
                <w:rFonts w:ascii="Times New Roman" w:hAnsi="Times New Roman"/>
                <w:sz w:val="24"/>
                <w:szCs w:val="24"/>
              </w:rPr>
              <w:t>Integre</w:t>
            </w:r>
            <w:r>
              <w:rPr>
                <w:rFonts w:ascii="Times New Roman" w:hAnsi="Times New Roman"/>
                <w:sz w:val="24"/>
                <w:szCs w:val="24"/>
              </w:rPr>
              <w:t>ze</w:t>
            </w:r>
            <w:r w:rsidRPr="0035333E">
              <w:rPr>
                <w:rFonts w:ascii="Times New Roman" w:hAnsi="Times New Roman"/>
                <w:sz w:val="24"/>
                <w:szCs w:val="24"/>
              </w:rPr>
              <w:t xml:space="preserve"> în mod consecvent și autonom abordări didactice și tehnologii educaționale inovatoare pentru formarea/dezvoltarea competențelor cheie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92D9569" w14:textId="77777777" w:rsidR="00E05120" w:rsidRDefault="00E05120" w:rsidP="008D0DB9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03468BA" w14:textId="747FE2D2" w:rsidR="008D0DB9" w:rsidRDefault="000B3BD0" w:rsidP="008D0DB9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DDC2298" w14:textId="28F593D0" w:rsidR="0082590B" w:rsidRPr="008D0DB9" w:rsidRDefault="00E07BEC" w:rsidP="008D0DB9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E07BEC">
        <w:rPr>
          <w:rFonts w:ascii="Times New Roman" w:hAnsi="Times New Roman"/>
          <w:sz w:val="24"/>
          <w:szCs w:val="24"/>
        </w:rPr>
        <w:t>Predarea disciplinei „Metode și tehnici de învățare eficientă” se va baza pe o combinație echilibrată între metode expozitive și interactive, adaptate nevoilor specifice ale studenților pentru a facilita dobândirea unor competențe practice aplicabile în procesul de învățare și pregătire pentru examene.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Metode expozitive: prelegeri susținute cu suport multimedia (prezentări PowerPoint, materiale video), care vor oferi cadrul teoretic necesar înțelegerii strategiilor de învățare eficiente și a tehnicilor asociate.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Metode practice: exerciții de aplicare a tehnicilor de învățare (de exemplu, realizarea de scheme, tehnici de memorare, organizarea timpului), simulări de sesiuni de studiu și autoevaluare, activități individuale și de grup.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Metode colaborative: lucrul în echipe pentru schimbul de experiențe privind metodele personale de învățare și dezvoltarea de strategii comune eficiente.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Utilizarea platformelor digitale și a resurselor online pentru accesarea materialelor suplimentare și realizarea unor activități asincrone care să susțină procesul continuu de învățare.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Această diversitate metodologică urmărește nu doar transmiterea de cunoștințe, ci și dezvoltarea abilităților practice și a unei atitudini autonome și proactive față de procesul educațional.</w:t>
      </w:r>
    </w:p>
    <w:p w14:paraId="31933B81" w14:textId="77777777" w:rsidR="00E07BEC" w:rsidRPr="0082590B" w:rsidRDefault="00E07BEC" w:rsidP="00E07B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117EE" w14:textId="0685EEDD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5D65DEB4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D6045A" w:rsidRPr="00AD6760" w14:paraId="2FAF5653" w14:textId="77777777" w:rsidTr="00B6475A">
        <w:trPr>
          <w:trHeight w:val="312"/>
          <w:jc w:val="center"/>
        </w:trPr>
        <w:tc>
          <w:tcPr>
            <w:tcW w:w="1271" w:type="dxa"/>
            <w:vAlign w:val="center"/>
          </w:tcPr>
          <w:p w14:paraId="70FBC42F" w14:textId="050B956A" w:rsidR="00D6045A" w:rsidRPr="00AD6760" w:rsidRDefault="00D6045A" w:rsidP="00D6045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5A240DB" w14:textId="7A309214" w:rsidR="00D6045A" w:rsidRPr="00D6045A" w:rsidRDefault="00D6045A" w:rsidP="00D60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45A">
              <w:rPr>
                <w:rFonts w:ascii="Times New Roman" w:hAnsi="Times New Roman"/>
                <w:sz w:val="24"/>
                <w:szCs w:val="24"/>
              </w:rPr>
              <w:t>Învăţarea umană în contextul dezvoltării pe tot parcursul</w:t>
            </w:r>
          </w:p>
        </w:tc>
        <w:tc>
          <w:tcPr>
            <w:tcW w:w="857" w:type="dxa"/>
            <w:vAlign w:val="center"/>
          </w:tcPr>
          <w:p w14:paraId="3C9EB5C0" w14:textId="3B7108C7" w:rsidR="00D6045A" w:rsidRPr="00B6475A" w:rsidRDefault="00D6045A" w:rsidP="00D6045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6045A" w:rsidRPr="00AD6760" w14:paraId="18ABA96D" w14:textId="77777777" w:rsidTr="136E1F19">
        <w:trPr>
          <w:jc w:val="center"/>
        </w:trPr>
        <w:tc>
          <w:tcPr>
            <w:tcW w:w="1271" w:type="dxa"/>
            <w:vAlign w:val="center"/>
          </w:tcPr>
          <w:p w14:paraId="748F843E" w14:textId="247DB6A0" w:rsidR="00D6045A" w:rsidRPr="00AD6760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0D13369" w14:textId="08E33BDC" w:rsidR="00D6045A" w:rsidRPr="00D6045A" w:rsidRDefault="00D6045A" w:rsidP="00D604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45A">
              <w:rPr>
                <w:rFonts w:ascii="Times New Roman" w:hAnsi="Times New Roman"/>
                <w:sz w:val="24"/>
                <w:szCs w:val="24"/>
              </w:rPr>
              <w:t>vieţii – forme, domenii ale învăţării, dimensiuni ale învăţării</w:t>
            </w:r>
          </w:p>
        </w:tc>
        <w:tc>
          <w:tcPr>
            <w:tcW w:w="857" w:type="dxa"/>
            <w:vAlign w:val="center"/>
          </w:tcPr>
          <w:p w14:paraId="34AE2AC5" w14:textId="6679A5BF" w:rsidR="00D6045A" w:rsidRPr="00B6475A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6045A" w:rsidRPr="00AD6760" w14:paraId="389DF12A" w14:textId="77777777" w:rsidTr="136E1F19">
        <w:trPr>
          <w:jc w:val="center"/>
        </w:trPr>
        <w:tc>
          <w:tcPr>
            <w:tcW w:w="1271" w:type="dxa"/>
            <w:vAlign w:val="center"/>
          </w:tcPr>
          <w:p w14:paraId="0C8F769E" w14:textId="64E74B94" w:rsidR="00D6045A" w:rsidRPr="00AD6760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76C651D4" w14:textId="052A1FED" w:rsidR="00D6045A" w:rsidRPr="00D6045A" w:rsidRDefault="00D6045A" w:rsidP="00D604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45A">
              <w:rPr>
                <w:rFonts w:ascii="Times New Roman" w:hAnsi="Times New Roman"/>
                <w:sz w:val="24"/>
                <w:szCs w:val="24"/>
              </w:rPr>
              <w:t>Mecanismele învăţării. Legi, principii şi reguli ale învăţării eficiente. Capacităţi de învăţare</w:t>
            </w:r>
          </w:p>
        </w:tc>
        <w:tc>
          <w:tcPr>
            <w:tcW w:w="857" w:type="dxa"/>
            <w:vAlign w:val="center"/>
          </w:tcPr>
          <w:p w14:paraId="313E2854" w14:textId="011C7CFD" w:rsidR="00D6045A" w:rsidRPr="00B6475A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6045A" w:rsidRPr="00AD6760" w14:paraId="2CC7EA92" w14:textId="77777777" w:rsidTr="136E1F19">
        <w:trPr>
          <w:jc w:val="center"/>
        </w:trPr>
        <w:tc>
          <w:tcPr>
            <w:tcW w:w="1271" w:type="dxa"/>
            <w:vAlign w:val="center"/>
          </w:tcPr>
          <w:p w14:paraId="1E399926" w14:textId="3388CF94" w:rsidR="00D6045A" w:rsidRPr="00AD6760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22B505D2" w14:textId="6DCE73AA" w:rsidR="00D6045A" w:rsidRPr="00D6045A" w:rsidRDefault="00D6045A" w:rsidP="00D604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45A">
              <w:rPr>
                <w:rFonts w:ascii="Times New Roman" w:hAnsi="Times New Roman"/>
                <w:sz w:val="24"/>
                <w:szCs w:val="24"/>
              </w:rPr>
              <w:t>Teoriile învățării: comportamentalistă, cognitivă, constructivistă, socială, rețelelor neuronale</w:t>
            </w:r>
          </w:p>
        </w:tc>
        <w:tc>
          <w:tcPr>
            <w:tcW w:w="857" w:type="dxa"/>
            <w:vAlign w:val="center"/>
          </w:tcPr>
          <w:p w14:paraId="15AD19EA" w14:textId="77777777" w:rsidR="00D6045A" w:rsidRPr="00B6475A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6045A" w:rsidRPr="00AD6760" w14:paraId="0CBD9111" w14:textId="77777777" w:rsidTr="136E1F19">
        <w:trPr>
          <w:jc w:val="center"/>
        </w:trPr>
        <w:tc>
          <w:tcPr>
            <w:tcW w:w="1271" w:type="dxa"/>
            <w:vAlign w:val="center"/>
          </w:tcPr>
          <w:p w14:paraId="0C7E9E3C" w14:textId="22901F68" w:rsidR="00D6045A" w:rsidRPr="00AD6760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70892A4D" w14:textId="1A832D53" w:rsidR="00D6045A" w:rsidRPr="00D6045A" w:rsidRDefault="00D6045A" w:rsidP="00D604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45A">
              <w:rPr>
                <w:rFonts w:ascii="Times New Roman" w:hAnsi="Times New Roman"/>
                <w:sz w:val="24"/>
                <w:szCs w:val="24"/>
              </w:rPr>
              <w:t>Autonomia şi independenţa în învăţare – strategii şi stiluri de învăţare</w:t>
            </w:r>
          </w:p>
        </w:tc>
        <w:tc>
          <w:tcPr>
            <w:tcW w:w="857" w:type="dxa"/>
            <w:vAlign w:val="center"/>
          </w:tcPr>
          <w:p w14:paraId="5928C940" w14:textId="68156AE6" w:rsidR="00D6045A" w:rsidRPr="00B6475A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6045A" w:rsidRPr="00AD6760" w14:paraId="63209E08" w14:textId="77777777" w:rsidTr="136E1F19">
        <w:trPr>
          <w:jc w:val="center"/>
        </w:trPr>
        <w:tc>
          <w:tcPr>
            <w:tcW w:w="1271" w:type="dxa"/>
            <w:vAlign w:val="center"/>
          </w:tcPr>
          <w:p w14:paraId="2277214C" w14:textId="23804343" w:rsidR="00D6045A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4F452B76" w14:textId="6CE084F0" w:rsidR="00D6045A" w:rsidRPr="00D6045A" w:rsidRDefault="00D6045A" w:rsidP="00D604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45A">
              <w:rPr>
                <w:rFonts w:ascii="Times New Roman" w:hAnsi="Times New Roman"/>
                <w:sz w:val="24"/>
                <w:szCs w:val="24"/>
              </w:rPr>
              <w:t xml:space="preserve">Managementul spaţiului şi timpului de studiu. Condiții externe și interne ale învățării. </w:t>
            </w:r>
          </w:p>
        </w:tc>
        <w:tc>
          <w:tcPr>
            <w:tcW w:w="857" w:type="dxa"/>
            <w:vAlign w:val="center"/>
          </w:tcPr>
          <w:p w14:paraId="2BA13951" w14:textId="21D45F4D" w:rsidR="00D6045A" w:rsidRPr="00B6475A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6045A" w:rsidRPr="00AD6760" w14:paraId="05C35370" w14:textId="77777777" w:rsidTr="136E1F19">
        <w:trPr>
          <w:jc w:val="center"/>
        </w:trPr>
        <w:tc>
          <w:tcPr>
            <w:tcW w:w="1271" w:type="dxa"/>
            <w:vAlign w:val="center"/>
          </w:tcPr>
          <w:p w14:paraId="0A267B95" w14:textId="7EB6AE5C" w:rsidR="00D6045A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</w:tcPr>
          <w:p w14:paraId="015FB556" w14:textId="7A878A48" w:rsidR="00D6045A" w:rsidRPr="00D6045A" w:rsidRDefault="00D6045A" w:rsidP="00D604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45A">
              <w:rPr>
                <w:rFonts w:ascii="Times New Roman" w:hAnsi="Times New Roman"/>
                <w:sz w:val="24"/>
                <w:szCs w:val="24"/>
              </w:rPr>
              <w:t>Strategii, metode și tehnici eficiente de învățare/studiu (ARMS, Tehnica Feynman, MIHM, RICAR; SPIR)</w:t>
            </w:r>
          </w:p>
        </w:tc>
        <w:tc>
          <w:tcPr>
            <w:tcW w:w="857" w:type="dxa"/>
            <w:vAlign w:val="center"/>
          </w:tcPr>
          <w:p w14:paraId="4FBC4C2E" w14:textId="6B58DA72" w:rsidR="00D6045A" w:rsidRPr="00B6475A" w:rsidRDefault="00D6045A" w:rsidP="00D60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972C4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F972C4" w:rsidRPr="00AD6760" w:rsidRDefault="00F972C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F972C4" w:rsidRPr="002054AA" w:rsidRDefault="00F972C4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02C2E181" w:rsidR="00F972C4" w:rsidRPr="002054AA" w:rsidRDefault="004E4A0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72C4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154E14CA" w:rsidR="00F972C4" w:rsidRPr="001F09AB" w:rsidRDefault="1B82A3CE" w:rsidP="00A343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6DBC5F5B" w14:textId="7E8AAB66" w:rsidR="000C61AA" w:rsidRPr="001F09AB" w:rsidRDefault="00302FF7" w:rsidP="000C61A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Dumitru</w:t>
            </w:r>
            <w:r w:rsidR="000C61AA" w:rsidRPr="001F09A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Cristina</w:t>
            </w:r>
            <w:r w:rsidR="0052048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&amp; Ionescu, E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. C.</w:t>
            </w:r>
            <w:r w:rsidR="000C61AA" w:rsidRPr="001F09A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D6045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Metode și tehnici de învățare eficientă</w:t>
            </w:r>
            <w:r w:rsidR="000C61AA" w:rsidRPr="001F09A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, Note de curs. </w:t>
            </w:r>
          </w:p>
          <w:p w14:paraId="54FFCE0E" w14:textId="77777777" w:rsid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Bogaty, Z. (coord.)(2008).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Manual de tehnici şi abilităţi academice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Timişoara : Editura Universităţii de Vest</w:t>
            </w:r>
          </w:p>
          <w:p w14:paraId="6450D86A" w14:textId="4A986FA4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Bernart, E. (2003).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Metode şi tehnici de învăţare eficientă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Cluj-Napoca: Presa Universitară Clujeană.</w:t>
            </w:r>
          </w:p>
          <w:p w14:paraId="7095E7FC" w14:textId="77777777" w:rsid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Drapeau, C. (2007).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Învaţă cum să înveţi repede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. Bucureşti: Editura Teora </w:t>
            </w:r>
          </w:p>
          <w:p w14:paraId="5397C9AD" w14:textId="77777777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Dunlosky, J., Rawson, K. A., Marsh, E. J., Nathan, M. J., Willingham, D. T. (2013).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Improving Students’ Learning with Effective Learning Techniques: Promising Directions From Cognitive and Educational Psychology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Psychological Science in the Public Interest 14(1) 4–58.</w:t>
            </w:r>
          </w:p>
          <w:p w14:paraId="0120CDCA" w14:textId="77777777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Feynman, R. P. (1985).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Surely You're Joking, Mr. Feynman!</w:t>
            </w:r>
          </w:p>
          <w:p w14:paraId="62836CFD" w14:textId="77777777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Gazzaniga, M. S., et. al. (2009).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The cognitive neurosciences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London: The MIT Press</w:t>
            </w:r>
          </w:p>
          <w:p w14:paraId="397492BB" w14:textId="77777777" w:rsid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Kahneman, D. (2012).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Thinking, fast and slow.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London: Penguin Books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66F8FF00" w14:textId="050F5D22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Kahneman, D. (2015).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Gândire repidă, gândire lentă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Publica</w:t>
            </w:r>
          </w:p>
          <w:p w14:paraId="795B872D" w14:textId="77777777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Neacșu I. (2015).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Metode și tehnici de învățare eficientă,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Iași: Polirom;</w:t>
            </w:r>
          </w:p>
          <w:p w14:paraId="475DC3EE" w14:textId="77777777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Neacşu, I., (2006).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Învăţarea academică independentă. Ghid metodologic,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Universitatea Bucureşti</w:t>
            </w:r>
          </w:p>
          <w:p w14:paraId="73326197" w14:textId="77777777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Negovan , V., (2007).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Psihologia învăţării. Forme, strategii, stil.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Bucureşti: Universitară </w:t>
            </w:r>
          </w:p>
          <w:p w14:paraId="6ED6DFC7" w14:textId="77777777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Negreţ-Dobridor, I., Pânişoară I.O. (2005).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Ştiinţa învăţării.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Iaşi : Polirom</w:t>
            </w:r>
          </w:p>
          <w:p w14:paraId="4453D44C" w14:textId="77777777" w:rsidR="00DA0B9F" w:rsidRPr="00DA0B9F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Pânișoara, G. (coord., autor) (2019).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Psihologia învățării. Cum învață copiii și adulții.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Polirom: Iași</w:t>
            </w:r>
          </w:p>
          <w:p w14:paraId="14F5496B" w14:textId="5F043CF3" w:rsidR="00F054FF" w:rsidRPr="00391BB3" w:rsidRDefault="00DA0B9F" w:rsidP="00DA0B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Rudniaski, J. (2004).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Cum să înveţi.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Bucureşti: Editura All Pedagogic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CD3703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62E4435F" w:rsidR="00AD6760" w:rsidRPr="00FB55B0" w:rsidRDefault="00745DEC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="00AD6760" w:rsidRPr="00924485" w14:paraId="6B577D84" w14:textId="77777777" w:rsidTr="00CD3703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934FE3" w:rsidRPr="0045017B" w14:paraId="10F798F8" w14:textId="77777777" w:rsidTr="00D77E99">
        <w:trPr>
          <w:trHeight w:val="310"/>
          <w:jc w:val="center"/>
        </w:trPr>
        <w:tc>
          <w:tcPr>
            <w:tcW w:w="850" w:type="dxa"/>
          </w:tcPr>
          <w:p w14:paraId="407718C1" w14:textId="77777777" w:rsidR="00934FE3" w:rsidRPr="00FB55B0" w:rsidRDefault="00934FE3" w:rsidP="00934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14:paraId="33FD776F" w14:textId="78DA3B95" w:rsidR="00934FE3" w:rsidRPr="00BD5367" w:rsidRDefault="00934FE3" w:rsidP="00934FE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E055D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Seminar organizatoric</w:t>
            </w:r>
            <w:r w:rsidR="00E055D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.</w:t>
            </w:r>
            <w:r w:rsidR="00E055DB" w:rsidRPr="00E055D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Învăţarea eficientă – o învăţare autodeterminată</w:t>
            </w:r>
          </w:p>
        </w:tc>
        <w:tc>
          <w:tcPr>
            <w:tcW w:w="874" w:type="dxa"/>
            <w:vAlign w:val="center"/>
          </w:tcPr>
          <w:p w14:paraId="1DDBB691" w14:textId="77777777" w:rsidR="00934FE3" w:rsidRPr="00CD3703" w:rsidRDefault="00934FE3" w:rsidP="00934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55DB" w:rsidRPr="0045017B" w14:paraId="41A147A3" w14:textId="77777777" w:rsidTr="00CD3703">
        <w:trPr>
          <w:trHeight w:val="310"/>
          <w:jc w:val="center"/>
        </w:trPr>
        <w:tc>
          <w:tcPr>
            <w:tcW w:w="850" w:type="dxa"/>
          </w:tcPr>
          <w:p w14:paraId="05B40FBB" w14:textId="77777777" w:rsidR="00E055DB" w:rsidRPr="00FB55B0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14:paraId="67CC1DCC" w14:textId="2830ABA2" w:rsidR="00E055DB" w:rsidRPr="00BD5367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E055D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Autoevaluarea capacităţii de învăţare: analiza SWOT</w:t>
            </w:r>
          </w:p>
        </w:tc>
        <w:tc>
          <w:tcPr>
            <w:tcW w:w="874" w:type="dxa"/>
            <w:vAlign w:val="center"/>
          </w:tcPr>
          <w:p w14:paraId="1CA0030A" w14:textId="77777777" w:rsidR="00E055DB" w:rsidRPr="00CD3703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55DB" w:rsidRPr="0045017B" w14:paraId="30975062" w14:textId="77777777" w:rsidTr="00CD3703">
        <w:trPr>
          <w:trHeight w:val="310"/>
          <w:jc w:val="center"/>
        </w:trPr>
        <w:tc>
          <w:tcPr>
            <w:tcW w:w="850" w:type="dxa"/>
          </w:tcPr>
          <w:p w14:paraId="63460A1C" w14:textId="77777777" w:rsidR="00E055DB" w:rsidRPr="00FB55B0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10FEC278" w14:textId="0863E2CF" w:rsidR="00E055DB" w:rsidRPr="00BD5367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E055D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Etape în organizarea şi planificarea studiului individual;</w:t>
            </w:r>
          </w:p>
        </w:tc>
        <w:tc>
          <w:tcPr>
            <w:tcW w:w="874" w:type="dxa"/>
            <w:vAlign w:val="center"/>
          </w:tcPr>
          <w:p w14:paraId="18773775" w14:textId="6156A29B" w:rsidR="00E055DB" w:rsidRPr="00CD3703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55DB" w:rsidRPr="0045017B" w14:paraId="4EC460B4" w14:textId="77777777" w:rsidTr="00CD3703">
        <w:trPr>
          <w:trHeight w:val="310"/>
          <w:jc w:val="center"/>
        </w:trPr>
        <w:tc>
          <w:tcPr>
            <w:tcW w:w="850" w:type="dxa"/>
          </w:tcPr>
          <w:p w14:paraId="37F38104" w14:textId="77777777" w:rsidR="00E055DB" w:rsidRPr="00FB55B0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13A93FE3" w14:textId="6A120358" w:rsidR="00E055DB" w:rsidRPr="00BD5367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E055D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Eficientizarea activităţii de învăţare în mediul academic</w:t>
            </w:r>
          </w:p>
        </w:tc>
        <w:tc>
          <w:tcPr>
            <w:tcW w:w="874" w:type="dxa"/>
            <w:vAlign w:val="center"/>
          </w:tcPr>
          <w:p w14:paraId="5F049B3D" w14:textId="14F2A064" w:rsidR="00E055DB" w:rsidRPr="00CD3703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55DB" w:rsidRPr="0045017B" w14:paraId="58CF6DBE" w14:textId="77777777" w:rsidTr="00CD3703">
        <w:trPr>
          <w:trHeight w:val="310"/>
          <w:jc w:val="center"/>
        </w:trPr>
        <w:tc>
          <w:tcPr>
            <w:tcW w:w="850" w:type="dxa"/>
          </w:tcPr>
          <w:p w14:paraId="5EBEC8A8" w14:textId="77777777" w:rsidR="00E055DB" w:rsidRPr="00FB55B0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5824CB1E" w14:textId="2651C8D5" w:rsidR="00E055DB" w:rsidRPr="00BD5367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E055D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Tehnici de prelucrare a informaţiilor, tehnici de scriere şi compoziţie a textului utilizarea şi realizarea bibliografiei lucrărilor; pregătirea şi susţinerea publică a lucrărilor</w:t>
            </w:r>
          </w:p>
        </w:tc>
        <w:tc>
          <w:tcPr>
            <w:tcW w:w="874" w:type="dxa"/>
            <w:vAlign w:val="center"/>
          </w:tcPr>
          <w:p w14:paraId="169121EE" w14:textId="03AE59AF" w:rsidR="00E055DB" w:rsidRPr="00CD3703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55DB" w:rsidRPr="0045017B" w14:paraId="64E74640" w14:textId="77777777" w:rsidTr="00CD3703">
        <w:trPr>
          <w:trHeight w:val="310"/>
          <w:jc w:val="center"/>
        </w:trPr>
        <w:tc>
          <w:tcPr>
            <w:tcW w:w="850" w:type="dxa"/>
          </w:tcPr>
          <w:p w14:paraId="28B1FA66" w14:textId="77777777" w:rsidR="00E055DB" w:rsidRPr="00FB55B0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14:paraId="4EDFF5DE" w14:textId="4CFF1FD4" w:rsidR="00E055DB" w:rsidRPr="00BD5367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E055D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Documentarea: citirea critică a unui articol; recenzia de carte</w:t>
            </w:r>
          </w:p>
        </w:tc>
        <w:tc>
          <w:tcPr>
            <w:tcW w:w="874" w:type="dxa"/>
          </w:tcPr>
          <w:p w14:paraId="00E82530" w14:textId="40F70A09" w:rsidR="00E055DB" w:rsidRPr="00CD3703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55DB" w:rsidRPr="0045017B" w14:paraId="35C80DE4" w14:textId="77777777" w:rsidTr="00CD3703">
        <w:trPr>
          <w:trHeight w:val="310"/>
          <w:jc w:val="center"/>
        </w:trPr>
        <w:tc>
          <w:tcPr>
            <w:tcW w:w="850" w:type="dxa"/>
          </w:tcPr>
          <w:p w14:paraId="177EFEB6" w14:textId="77777777" w:rsidR="00E055DB" w:rsidRPr="00FB55B0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14:paraId="7DFE5BEA" w14:textId="6F7462CD" w:rsidR="00E055DB" w:rsidRPr="00BD5367" w:rsidRDefault="009C137D" w:rsidP="00E055D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9C137D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Ghid pentru realizarea unui eseu ştiinţific</w:t>
            </w:r>
          </w:p>
        </w:tc>
        <w:tc>
          <w:tcPr>
            <w:tcW w:w="874" w:type="dxa"/>
          </w:tcPr>
          <w:p w14:paraId="22190B02" w14:textId="77777777" w:rsidR="00E055DB" w:rsidRPr="00CD3703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55DB" w:rsidRPr="0045017B" w14:paraId="73EE7879" w14:textId="77777777" w:rsidTr="00CD3703">
        <w:trPr>
          <w:jc w:val="center"/>
        </w:trPr>
        <w:tc>
          <w:tcPr>
            <w:tcW w:w="850" w:type="dxa"/>
          </w:tcPr>
          <w:p w14:paraId="56C9A637" w14:textId="77777777" w:rsidR="00E055DB" w:rsidRPr="00FB55B0" w:rsidRDefault="00E055DB" w:rsidP="00E0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E055DB" w:rsidRPr="00FB55B0" w:rsidRDefault="00E055DB" w:rsidP="00E055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4FB42176" w:rsidR="00E055DB" w:rsidRPr="00FB55B0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E055DB" w:rsidRPr="0045017B" w14:paraId="4A9FE7DB" w14:textId="77777777" w:rsidTr="00391BB3">
        <w:trPr>
          <w:trHeight w:val="734"/>
          <w:jc w:val="center"/>
        </w:trPr>
        <w:tc>
          <w:tcPr>
            <w:tcW w:w="10464" w:type="dxa"/>
            <w:gridSpan w:val="3"/>
          </w:tcPr>
          <w:p w14:paraId="7F695DA8" w14:textId="2CF40FE7" w:rsidR="00E055DB" w:rsidRPr="00BD3298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14:paraId="3B42EA37" w14:textId="77777777" w:rsidR="00E055DB" w:rsidRPr="001F09AB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Dumitru</w:t>
            </w:r>
            <w:r w:rsidRPr="001F09A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Cristina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&amp; Ionescu, E. C.</w:t>
            </w:r>
            <w:r w:rsidRPr="001F09A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Metode și tehnici de învățare eficientă</w:t>
            </w:r>
            <w:r w:rsidRPr="001F09A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, Note de curs. </w:t>
            </w:r>
          </w:p>
          <w:p w14:paraId="11201879" w14:textId="77777777" w:rsidR="00E055DB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Bogaty, Z. (coord.)(2008).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Manual de tehnici şi abilităţi academice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Timişoara : Editura Universităţii de Vest</w:t>
            </w:r>
          </w:p>
          <w:p w14:paraId="1757A14B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Bernart, E. (2003).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Metode şi tehnici de învăţare eficientă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Cluj-Napoca: Presa Universitară Clujeană.</w:t>
            </w:r>
          </w:p>
          <w:p w14:paraId="17D36ABA" w14:textId="77777777" w:rsidR="00E055DB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Drapeau, C. (2007).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Învaţă cum să înveţi repede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. Bucureşti: Editura Teora </w:t>
            </w:r>
          </w:p>
          <w:p w14:paraId="24B2290E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Dunlosky, J., Rawson, K. A., Marsh, E. J., Nathan, M. J., Willingham, D. T. (2013).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Improving Students’ Learning with Effective Learning Techniques: Promising Directions From Cognitive and Educational Psychology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Psychological Science in the Public Interest 14(1) 4–58.</w:t>
            </w:r>
          </w:p>
          <w:p w14:paraId="61DDBC80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Feynman, R. P. (1985).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Surely You're Joking, Mr. Feynman!</w:t>
            </w:r>
          </w:p>
          <w:p w14:paraId="1295601B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Gazzaniga, M. S., et. al. (2009).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The cognitive neurosciences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London: The MIT Press</w:t>
            </w:r>
          </w:p>
          <w:p w14:paraId="0794AAFA" w14:textId="77777777" w:rsidR="00E055DB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Kahneman, D. (2012).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Thinking, fast and slow.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London: Penguin Books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6D6FF104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Kahneman, D. (2015).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Gândire repidă, gândire lentă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>. Publica</w:t>
            </w:r>
          </w:p>
          <w:p w14:paraId="7A7E0921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Neacșu I. (2015).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Metode și tehnici de învățare eficientă,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Iași: Polirom;</w:t>
            </w:r>
          </w:p>
          <w:p w14:paraId="50313FBB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Neacşu, I., (2006).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Învăţarea academică independentă. Ghid metodologic,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Universitatea Bucureşti</w:t>
            </w:r>
          </w:p>
          <w:p w14:paraId="0C66D5CF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Negovan , V., (2007).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Psihologia învăţării. Forme, strategii, stil.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Bucureşti: Universitară </w:t>
            </w:r>
          </w:p>
          <w:p w14:paraId="602516C0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Negreţ-Dobridor, I., Pânişoară I.O. (2005).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Ştiinţa învăţării.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Iaşi : Polirom</w:t>
            </w:r>
          </w:p>
          <w:p w14:paraId="09E6B891" w14:textId="77777777" w:rsidR="00E055DB" w:rsidRPr="00DA0B9F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Pânișoara, G. (coord., autor) (2019).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Psihologia învățării. Cum învață copiii și adulții.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Polirom: Iași</w:t>
            </w:r>
          </w:p>
          <w:p w14:paraId="54BBFB2E" w14:textId="73434CF8" w:rsidR="00E055DB" w:rsidRPr="000C61AA" w:rsidRDefault="00E055DB" w:rsidP="00E055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Rudniaski, J. (2004). </w:t>
            </w:r>
            <w:r w:rsidRPr="00DA0B9F">
              <w:rPr>
                <w:rFonts w:ascii="Times New Roman" w:hAnsi="Times New Roman"/>
                <w:i/>
                <w:sz w:val="24"/>
                <w:szCs w:val="24"/>
              </w:rPr>
              <w:t>Cum să înveţi.</w:t>
            </w:r>
            <w:r w:rsidRPr="00DA0B9F">
              <w:rPr>
                <w:rFonts w:ascii="Times New Roman" w:hAnsi="Times New Roman"/>
                <w:iCs/>
                <w:sz w:val="24"/>
                <w:szCs w:val="24"/>
              </w:rPr>
              <w:t xml:space="preserve"> Bucureşti: Editura All Pedagogic</w:t>
            </w:r>
          </w:p>
        </w:tc>
      </w:tr>
    </w:tbl>
    <w:p w14:paraId="064EE042" w14:textId="77777777" w:rsidR="00391BB3" w:rsidRDefault="00391BB3" w:rsidP="000B3B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315FAD" w14:textId="5DAB0E42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F3314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F33143" w:rsidRPr="0007194F" w14:paraId="74C75806" w14:textId="77777777" w:rsidTr="00B34B74">
        <w:trPr>
          <w:trHeight w:val="1932"/>
        </w:trPr>
        <w:tc>
          <w:tcPr>
            <w:tcW w:w="2682" w:type="dxa"/>
          </w:tcPr>
          <w:p w14:paraId="1902AF24" w14:textId="77777777" w:rsidR="00F33143" w:rsidRPr="0007194F" w:rsidRDefault="00F33143" w:rsidP="00F3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14:paraId="34374D1F" w14:textId="77777777" w:rsidR="00F33143" w:rsidRPr="00F33143" w:rsidRDefault="00F33143" w:rsidP="00F3314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3143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14:paraId="48967BEC" w14:textId="77777777" w:rsidR="00F33143" w:rsidRPr="00F33143" w:rsidRDefault="00F33143" w:rsidP="00F3314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3143">
              <w:rPr>
                <w:rFonts w:ascii="Times New Roman" w:hAnsi="Times New Roman"/>
                <w:iCs/>
                <w:sz w:val="24"/>
                <w:szCs w:val="24"/>
              </w:rPr>
              <w:t>Capacitatea de a sintetiza şi aplica cunoştinţele teoretice</w:t>
            </w:r>
          </w:p>
          <w:p w14:paraId="501CE885" w14:textId="77777777" w:rsidR="00F33143" w:rsidRPr="00F33143" w:rsidRDefault="00F33143" w:rsidP="00F3314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314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14:paraId="1705B273" w14:textId="001123B7" w:rsidR="00F33143" w:rsidRPr="00B34B74" w:rsidRDefault="00F33143" w:rsidP="00F3314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33143">
              <w:rPr>
                <w:rFonts w:ascii="Times New Roman" w:hAnsi="Times New Roman"/>
                <w:iCs/>
                <w:sz w:val="24"/>
                <w:szCs w:val="24"/>
              </w:rPr>
              <w:t>Coerenţa logică în tratarea subiectelor</w:t>
            </w:r>
          </w:p>
        </w:tc>
        <w:tc>
          <w:tcPr>
            <w:tcW w:w="2035" w:type="dxa"/>
            <w:vAlign w:val="center"/>
          </w:tcPr>
          <w:p w14:paraId="509BAC5C" w14:textId="65214A66" w:rsidR="00F33143" w:rsidRPr="00B34B74" w:rsidRDefault="00F33143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 xml:space="preserve">Examen </w:t>
            </w:r>
            <w:r w:rsidR="00B02612">
              <w:rPr>
                <w:rFonts w:ascii="Times New Roman" w:hAnsi="Times New Roman"/>
                <w:iCs/>
                <w:sz w:val="24"/>
                <w:szCs w:val="24"/>
              </w:rPr>
              <w:t>scris</w:t>
            </w:r>
          </w:p>
        </w:tc>
        <w:tc>
          <w:tcPr>
            <w:tcW w:w="1891" w:type="dxa"/>
            <w:vAlign w:val="center"/>
          </w:tcPr>
          <w:p w14:paraId="7F30234E" w14:textId="532A0C00" w:rsidR="00F33143" w:rsidRPr="00B34B74" w:rsidRDefault="00B02612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F33143" w:rsidRP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07194F" w14:paraId="0F7F8DD7" w14:textId="77777777" w:rsidTr="00B34B74">
        <w:trPr>
          <w:trHeight w:val="135"/>
        </w:trPr>
        <w:tc>
          <w:tcPr>
            <w:tcW w:w="2682" w:type="dxa"/>
            <w:vMerge w:val="restart"/>
          </w:tcPr>
          <w:p w14:paraId="5AF7BC1E" w14:textId="592DDBB4" w:rsidR="00B34B74" w:rsidRPr="0007194F" w:rsidRDefault="00B34B74" w:rsidP="00B34B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14:paraId="7113A5BF" w14:textId="77777777" w:rsidR="00B34B74" w:rsidRPr="00B34B74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14:paraId="19CA94CA" w14:textId="77777777" w:rsidR="00B34B74" w:rsidRPr="00B34B74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Capacitatea de a sintetiza şi aplica cunoştinţele teoretice</w:t>
            </w:r>
          </w:p>
          <w:p w14:paraId="0BBABB5D" w14:textId="77777777" w:rsidR="00B34B74" w:rsidRPr="00B34B74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14:paraId="6CF8B18C" w14:textId="15B2982F" w:rsidR="00B34B74" w:rsidRPr="00B34B74" w:rsidRDefault="00B34B74" w:rsidP="00B34B7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Coerenţa logică în tratarea subiectelor</w:t>
            </w:r>
          </w:p>
        </w:tc>
        <w:tc>
          <w:tcPr>
            <w:tcW w:w="2035" w:type="dxa"/>
            <w:vAlign w:val="center"/>
          </w:tcPr>
          <w:p w14:paraId="4FCA369D" w14:textId="33260D10" w:rsidR="00B34B74" w:rsidRPr="00B34B74" w:rsidRDefault="00B34B74" w:rsidP="00B34B74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B34B74">
              <w:rPr>
                <w:iCs/>
                <w:sz w:val="24"/>
                <w:szCs w:val="24"/>
              </w:rPr>
              <w:t>Referat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B34B74">
              <w:rPr>
                <w:iCs/>
                <w:sz w:val="24"/>
                <w:szCs w:val="24"/>
              </w:rPr>
              <w:t>(evaluare formativă/ continuă)</w:t>
            </w:r>
          </w:p>
          <w:p w14:paraId="1BC04238" w14:textId="11BF176F" w:rsidR="00B34B74" w:rsidRPr="00B34B74" w:rsidRDefault="00B34B74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39B929A6" w14:textId="69AF5E87" w:rsidR="00B34B74" w:rsidRPr="00B34B74" w:rsidRDefault="00023CD4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B34B74" w:rsidRP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07194F" w14:paraId="2B4116DF" w14:textId="77777777" w:rsidTr="00B34B74">
        <w:trPr>
          <w:trHeight w:val="135"/>
        </w:trPr>
        <w:tc>
          <w:tcPr>
            <w:tcW w:w="2682" w:type="dxa"/>
            <w:vMerge/>
          </w:tcPr>
          <w:p w14:paraId="2B711DFD" w14:textId="77777777" w:rsidR="00B34B74" w:rsidRPr="0007194F" w:rsidRDefault="00B34B74" w:rsidP="00B34B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14:paraId="2D98452F" w14:textId="6DA4BD45" w:rsidR="00B34B74" w:rsidRPr="00B34B74" w:rsidRDefault="00B34B74" w:rsidP="00B34B7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Completitudinea și corectitudinea alcătuirii  portofoliului</w:t>
            </w:r>
          </w:p>
        </w:tc>
        <w:tc>
          <w:tcPr>
            <w:tcW w:w="2035" w:type="dxa"/>
            <w:vAlign w:val="center"/>
          </w:tcPr>
          <w:p w14:paraId="45A2E07C" w14:textId="1B9DFF40" w:rsidR="00B34B74" w:rsidRPr="00B34B74" w:rsidRDefault="00B34B74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Portofoliu</w:t>
            </w:r>
          </w:p>
        </w:tc>
        <w:tc>
          <w:tcPr>
            <w:tcW w:w="1891" w:type="dxa"/>
            <w:vAlign w:val="center"/>
          </w:tcPr>
          <w:p w14:paraId="148AC8AB" w14:textId="6D07FCBB" w:rsidR="00B34B74" w:rsidRPr="00B34B74" w:rsidRDefault="00B02612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B34B74" w:rsidRP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F4549C" w14:paraId="45DF9D34" w14:textId="77777777" w:rsidTr="5B486057">
        <w:tc>
          <w:tcPr>
            <w:tcW w:w="10456" w:type="dxa"/>
            <w:gridSpan w:val="4"/>
          </w:tcPr>
          <w:p w14:paraId="7B173F2D" w14:textId="0271C666" w:rsidR="00B34B74" w:rsidRPr="00F4549C" w:rsidRDefault="00B34B74" w:rsidP="00B3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="00B34B74" w:rsidRPr="0007194F" w14:paraId="61E018F6" w14:textId="77777777" w:rsidTr="5B486057">
        <w:tc>
          <w:tcPr>
            <w:tcW w:w="10456" w:type="dxa"/>
            <w:gridSpan w:val="4"/>
          </w:tcPr>
          <w:p w14:paraId="0253BF57" w14:textId="2B9E5081" w:rsidR="00B34B74" w:rsidRPr="00F4549C" w:rsidRDefault="00B34B74" w:rsidP="00F4549C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14:paraId="30D7B7C9" w14:textId="65EE9D24" w:rsidR="00DC450D" w:rsidRPr="00F4549C" w:rsidRDefault="00DC450D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14:paraId="78BF18FD" w14:textId="77777777" w:rsidTr="003075CA">
        <w:tc>
          <w:tcPr>
            <w:tcW w:w="2207" w:type="dxa"/>
          </w:tcPr>
          <w:p w14:paraId="02838116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1CCFE5DE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14:paraId="169F6AC2" w14:textId="7F6504F2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14:paraId="40DB0ACA" w14:textId="72DE4375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 DUMITRU</w:t>
            </w:r>
          </w:p>
        </w:tc>
        <w:tc>
          <w:tcPr>
            <w:tcW w:w="3982" w:type="dxa"/>
          </w:tcPr>
          <w:p w14:paraId="2E6E7A09" w14:textId="24953C89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14:paraId="2E39C173" w14:textId="5F4C8362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 DUMITRU</w:t>
            </w:r>
          </w:p>
        </w:tc>
      </w:tr>
      <w:tr w:rsidR="00391BB3" w14:paraId="6FD081A3" w14:textId="77777777" w:rsidTr="003075CA">
        <w:tc>
          <w:tcPr>
            <w:tcW w:w="2207" w:type="dxa"/>
          </w:tcPr>
          <w:p w14:paraId="346C1E2C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52A5C4CD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Eduard Claudiu IONESCU</w:t>
            </w: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155937D2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Eduard Claudiu IONESCU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457E6C2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3B3C620A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14:paraId="56E69400" w14:textId="3D50DC56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9CF9E52" w14:textId="246447C5" w:rsidR="003C6DC8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14:paraId="2497EC3C" w14:textId="7393879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F4549C">
        <w:trPr>
          <w:trHeight w:val="777"/>
        </w:trPr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4EF5EE6" w14:textId="2E18657D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3614F58B" w:rsidR="003075CA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4F7E3907" w14:textId="3DBFBA90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AB3D3F4" w14:textId="4845AF49" w:rsidR="00F4549C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BCBC2" w14:textId="77777777" w:rsidR="00AF018B" w:rsidRDefault="00AF018B" w:rsidP="006B0230">
      <w:pPr>
        <w:spacing w:after="0" w:line="240" w:lineRule="auto"/>
      </w:pPr>
      <w:r>
        <w:separator/>
      </w:r>
    </w:p>
  </w:endnote>
  <w:endnote w:type="continuationSeparator" w:id="0">
    <w:p w14:paraId="1AAA9167" w14:textId="77777777" w:rsidR="00AF018B" w:rsidRDefault="00AF018B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419B6" w14:textId="77777777" w:rsidR="00407F92" w:rsidRDefault="00407F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AFC9A" w14:textId="77777777" w:rsidR="00407F92" w:rsidRDefault="00407F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A7AC4" w14:textId="77777777" w:rsidR="00407F92" w:rsidRDefault="00407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FEA21" w14:textId="77777777" w:rsidR="00AF018B" w:rsidRDefault="00AF018B" w:rsidP="006B0230">
      <w:pPr>
        <w:spacing w:after="0" w:line="240" w:lineRule="auto"/>
      </w:pPr>
      <w:r>
        <w:separator/>
      </w:r>
    </w:p>
  </w:footnote>
  <w:footnote w:type="continuationSeparator" w:id="0">
    <w:p w14:paraId="021925B3" w14:textId="77777777" w:rsidR="00AF018B" w:rsidRDefault="00AF018B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E004F" w14:textId="77777777" w:rsidR="00407F92" w:rsidRDefault="00407F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3A1CD927" w:rsidR="00D27462" w:rsidRPr="00504204" w:rsidRDefault="00D27462" w:rsidP="00563549">
          <w:pPr>
            <w:pStyle w:val="Header"/>
            <w:spacing w:after="0"/>
          </w:pP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301627E6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14:paraId="641B4FDE" w14:textId="21202960" w:rsidR="006B614A" w:rsidRPr="006B614A" w:rsidRDefault="006B614A" w:rsidP="006B614A">
          <w:pPr>
            <w:pStyle w:val="Header"/>
            <w:jc w:val="center"/>
            <w:rPr>
              <w:lang w:val="en-US"/>
            </w:rPr>
          </w:pPr>
          <w:r w:rsidRPr="006B614A">
            <w:rPr>
              <w:noProof/>
              <w:lang w:val="en-US"/>
            </w:rPr>
            <w:drawing>
              <wp:inline distT="0" distB="0" distL="0" distR="0" wp14:anchorId="19F4EC56" wp14:editId="6526EB5D">
                <wp:extent cx="792480" cy="769620"/>
                <wp:effectExtent l="0" t="0" r="7620" b="0"/>
                <wp:docPr id="200710131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769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52E6CC" w14:textId="27704ADE" w:rsidR="00D27462" w:rsidRPr="00504204" w:rsidRDefault="00D27462" w:rsidP="00D27462">
          <w:pPr>
            <w:pStyle w:val="Header"/>
            <w:spacing w:after="0"/>
            <w:jc w:val="center"/>
          </w:pPr>
        </w:p>
      </w:tc>
    </w:tr>
  </w:tbl>
  <w:p w14:paraId="3FFC0D45" w14:textId="14BCCAFC" w:rsidR="006B0230" w:rsidRDefault="00042830" w:rsidP="00563549">
    <w:pPr>
      <w:pStyle w:val="Header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34B3A" w14:textId="77777777" w:rsidR="00407F92" w:rsidRDefault="00407F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5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5"/>
  </w:num>
  <w:num w:numId="3" w16cid:durableId="258608419">
    <w:abstractNumId w:val="11"/>
  </w:num>
  <w:num w:numId="4" w16cid:durableId="824277224">
    <w:abstractNumId w:val="22"/>
  </w:num>
  <w:num w:numId="5" w16cid:durableId="1395470212">
    <w:abstractNumId w:val="16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2"/>
  </w:num>
  <w:num w:numId="9" w16cid:durableId="1415782996">
    <w:abstractNumId w:val="27"/>
  </w:num>
  <w:num w:numId="10" w16cid:durableId="115563253">
    <w:abstractNumId w:val="14"/>
  </w:num>
  <w:num w:numId="11" w16cid:durableId="1712412863">
    <w:abstractNumId w:val="5"/>
  </w:num>
  <w:num w:numId="12" w16cid:durableId="684669261">
    <w:abstractNumId w:val="24"/>
  </w:num>
  <w:num w:numId="13" w16cid:durableId="589778944">
    <w:abstractNumId w:val="19"/>
  </w:num>
  <w:num w:numId="14" w16cid:durableId="283855198">
    <w:abstractNumId w:val="21"/>
  </w:num>
  <w:num w:numId="15" w16cid:durableId="727650862">
    <w:abstractNumId w:val="20"/>
  </w:num>
  <w:num w:numId="16" w16cid:durableId="1808426706">
    <w:abstractNumId w:val="9"/>
  </w:num>
  <w:num w:numId="17" w16cid:durableId="582108211">
    <w:abstractNumId w:val="3"/>
  </w:num>
  <w:num w:numId="18" w16cid:durableId="471601454">
    <w:abstractNumId w:val="23"/>
  </w:num>
  <w:num w:numId="19" w16cid:durableId="222521144">
    <w:abstractNumId w:val="10"/>
  </w:num>
  <w:num w:numId="20" w16cid:durableId="1666738476">
    <w:abstractNumId w:val="25"/>
  </w:num>
  <w:num w:numId="21" w16cid:durableId="772676043">
    <w:abstractNumId w:val="7"/>
  </w:num>
  <w:num w:numId="22" w16cid:durableId="661348124">
    <w:abstractNumId w:val="28"/>
  </w:num>
  <w:num w:numId="23" w16cid:durableId="1415277359">
    <w:abstractNumId w:val="8"/>
  </w:num>
  <w:num w:numId="24" w16cid:durableId="2052487911">
    <w:abstractNumId w:val="26"/>
  </w:num>
  <w:num w:numId="25" w16cid:durableId="913392362">
    <w:abstractNumId w:val="17"/>
  </w:num>
  <w:num w:numId="26" w16cid:durableId="718674411">
    <w:abstractNumId w:val="1"/>
  </w:num>
  <w:num w:numId="27" w16cid:durableId="783698545">
    <w:abstractNumId w:val="6"/>
  </w:num>
  <w:num w:numId="28" w16cid:durableId="1954942921">
    <w:abstractNumId w:val="13"/>
  </w:num>
  <w:num w:numId="29" w16cid:durableId="1723772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13988"/>
    <w:rsid w:val="00023CD4"/>
    <w:rsid w:val="00024FEB"/>
    <w:rsid w:val="00032DD1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A3009"/>
    <w:rsid w:val="000A5A59"/>
    <w:rsid w:val="000B053A"/>
    <w:rsid w:val="000B1429"/>
    <w:rsid w:val="000B2711"/>
    <w:rsid w:val="000B3BD0"/>
    <w:rsid w:val="000C2BD3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6B06"/>
    <w:rsid w:val="00140EB3"/>
    <w:rsid w:val="00155123"/>
    <w:rsid w:val="0015613E"/>
    <w:rsid w:val="00161CC5"/>
    <w:rsid w:val="00182C22"/>
    <w:rsid w:val="001878EA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D3204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2507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D67"/>
    <w:rsid w:val="002C3E30"/>
    <w:rsid w:val="002C5D1B"/>
    <w:rsid w:val="002C7828"/>
    <w:rsid w:val="002C7C5A"/>
    <w:rsid w:val="002D5B8A"/>
    <w:rsid w:val="002D606A"/>
    <w:rsid w:val="002D6227"/>
    <w:rsid w:val="002E3E12"/>
    <w:rsid w:val="002E5ECA"/>
    <w:rsid w:val="002F0971"/>
    <w:rsid w:val="00301FF6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33E"/>
    <w:rsid w:val="00353AA1"/>
    <w:rsid w:val="0035685D"/>
    <w:rsid w:val="00363560"/>
    <w:rsid w:val="00364359"/>
    <w:rsid w:val="00364C75"/>
    <w:rsid w:val="003665AD"/>
    <w:rsid w:val="003679B5"/>
    <w:rsid w:val="0037177D"/>
    <w:rsid w:val="003806E1"/>
    <w:rsid w:val="00391BB3"/>
    <w:rsid w:val="00391DFE"/>
    <w:rsid w:val="003A44E3"/>
    <w:rsid w:val="003B3669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D76"/>
    <w:rsid w:val="0040718D"/>
    <w:rsid w:val="00407F92"/>
    <w:rsid w:val="004144E3"/>
    <w:rsid w:val="00414517"/>
    <w:rsid w:val="0042161F"/>
    <w:rsid w:val="00421BC5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82712"/>
    <w:rsid w:val="004924E0"/>
    <w:rsid w:val="004971AD"/>
    <w:rsid w:val="00497817"/>
    <w:rsid w:val="004A05A3"/>
    <w:rsid w:val="004C3756"/>
    <w:rsid w:val="004D278A"/>
    <w:rsid w:val="004D4A49"/>
    <w:rsid w:val="004E0155"/>
    <w:rsid w:val="004E4A0B"/>
    <w:rsid w:val="004F426F"/>
    <w:rsid w:val="004F6CD3"/>
    <w:rsid w:val="005013E2"/>
    <w:rsid w:val="00502C98"/>
    <w:rsid w:val="00520480"/>
    <w:rsid w:val="00524180"/>
    <w:rsid w:val="00524B59"/>
    <w:rsid w:val="00530A49"/>
    <w:rsid w:val="00532F3D"/>
    <w:rsid w:val="00533EB9"/>
    <w:rsid w:val="00536B72"/>
    <w:rsid w:val="00563549"/>
    <w:rsid w:val="00575ADC"/>
    <w:rsid w:val="00576EC0"/>
    <w:rsid w:val="0058346F"/>
    <w:rsid w:val="00587DCE"/>
    <w:rsid w:val="005976E7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30381"/>
    <w:rsid w:val="00633533"/>
    <w:rsid w:val="00637494"/>
    <w:rsid w:val="00637B47"/>
    <w:rsid w:val="00640429"/>
    <w:rsid w:val="00640681"/>
    <w:rsid w:val="0065472F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B614A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7800"/>
    <w:rsid w:val="00880A77"/>
    <w:rsid w:val="00881875"/>
    <w:rsid w:val="00884244"/>
    <w:rsid w:val="00897094"/>
    <w:rsid w:val="00897E4F"/>
    <w:rsid w:val="008A1E7A"/>
    <w:rsid w:val="008A7114"/>
    <w:rsid w:val="008B4A1F"/>
    <w:rsid w:val="008B5BEA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2A3E"/>
    <w:rsid w:val="009739F4"/>
    <w:rsid w:val="00975323"/>
    <w:rsid w:val="00984971"/>
    <w:rsid w:val="00987DA3"/>
    <w:rsid w:val="00994E0F"/>
    <w:rsid w:val="0099572E"/>
    <w:rsid w:val="009A162C"/>
    <w:rsid w:val="009A64D0"/>
    <w:rsid w:val="009B0688"/>
    <w:rsid w:val="009B449A"/>
    <w:rsid w:val="009B537E"/>
    <w:rsid w:val="009C1184"/>
    <w:rsid w:val="009C137D"/>
    <w:rsid w:val="009C6E3E"/>
    <w:rsid w:val="009E5754"/>
    <w:rsid w:val="009E64C2"/>
    <w:rsid w:val="009E6519"/>
    <w:rsid w:val="009F003A"/>
    <w:rsid w:val="009F2776"/>
    <w:rsid w:val="009F3B07"/>
    <w:rsid w:val="00A030EB"/>
    <w:rsid w:val="00A1052A"/>
    <w:rsid w:val="00A1304B"/>
    <w:rsid w:val="00A225CE"/>
    <w:rsid w:val="00A22F09"/>
    <w:rsid w:val="00A251A3"/>
    <w:rsid w:val="00A26298"/>
    <w:rsid w:val="00A26CB8"/>
    <w:rsid w:val="00A32B38"/>
    <w:rsid w:val="00A338EA"/>
    <w:rsid w:val="00A343BA"/>
    <w:rsid w:val="00A352F6"/>
    <w:rsid w:val="00A36A0C"/>
    <w:rsid w:val="00A4486F"/>
    <w:rsid w:val="00A45D21"/>
    <w:rsid w:val="00A5014E"/>
    <w:rsid w:val="00A528C7"/>
    <w:rsid w:val="00A637BC"/>
    <w:rsid w:val="00A64E8A"/>
    <w:rsid w:val="00A655E6"/>
    <w:rsid w:val="00A67126"/>
    <w:rsid w:val="00A74205"/>
    <w:rsid w:val="00A7555C"/>
    <w:rsid w:val="00A76F8E"/>
    <w:rsid w:val="00A77251"/>
    <w:rsid w:val="00A8092B"/>
    <w:rsid w:val="00A93E6C"/>
    <w:rsid w:val="00A94851"/>
    <w:rsid w:val="00A96CAC"/>
    <w:rsid w:val="00A97B4B"/>
    <w:rsid w:val="00AA5BBD"/>
    <w:rsid w:val="00AB18CF"/>
    <w:rsid w:val="00AB36EF"/>
    <w:rsid w:val="00AB4BB4"/>
    <w:rsid w:val="00AB549C"/>
    <w:rsid w:val="00AD3430"/>
    <w:rsid w:val="00AD46A4"/>
    <w:rsid w:val="00AD48B4"/>
    <w:rsid w:val="00AD6760"/>
    <w:rsid w:val="00AE0EFD"/>
    <w:rsid w:val="00AF018B"/>
    <w:rsid w:val="00AF2B9F"/>
    <w:rsid w:val="00AF3052"/>
    <w:rsid w:val="00B02612"/>
    <w:rsid w:val="00B13421"/>
    <w:rsid w:val="00B33D7D"/>
    <w:rsid w:val="00B34B74"/>
    <w:rsid w:val="00B4650B"/>
    <w:rsid w:val="00B53C95"/>
    <w:rsid w:val="00B54B49"/>
    <w:rsid w:val="00B559AB"/>
    <w:rsid w:val="00B609FA"/>
    <w:rsid w:val="00B6475A"/>
    <w:rsid w:val="00B67EA8"/>
    <w:rsid w:val="00B7109F"/>
    <w:rsid w:val="00B7391E"/>
    <w:rsid w:val="00B91DB1"/>
    <w:rsid w:val="00B95F96"/>
    <w:rsid w:val="00B96466"/>
    <w:rsid w:val="00B97DD5"/>
    <w:rsid w:val="00BA0EDC"/>
    <w:rsid w:val="00BA7CC6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54B8"/>
    <w:rsid w:val="00C016EB"/>
    <w:rsid w:val="00C036D6"/>
    <w:rsid w:val="00C116E4"/>
    <w:rsid w:val="00C1183D"/>
    <w:rsid w:val="00C14143"/>
    <w:rsid w:val="00C1599F"/>
    <w:rsid w:val="00C179D7"/>
    <w:rsid w:val="00C26673"/>
    <w:rsid w:val="00C33B75"/>
    <w:rsid w:val="00C36E73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D11B5"/>
    <w:rsid w:val="00DD2B25"/>
    <w:rsid w:val="00DD532D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12DA"/>
    <w:rsid w:val="00EE5094"/>
    <w:rsid w:val="00EE528D"/>
    <w:rsid w:val="00EE58FA"/>
    <w:rsid w:val="00EE6443"/>
    <w:rsid w:val="00EE7EA1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74C37"/>
    <w:rsid w:val="00F75B94"/>
    <w:rsid w:val="00F77194"/>
    <w:rsid w:val="00F854F4"/>
    <w:rsid w:val="00F90C98"/>
    <w:rsid w:val="00F9613F"/>
    <w:rsid w:val="00F972C4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63E9"/>
    <w:rsid w:val="00FD0711"/>
    <w:rsid w:val="00FD4111"/>
    <w:rsid w:val="00FD54D5"/>
    <w:rsid w:val="00FD5B5D"/>
    <w:rsid w:val="00FE0BA9"/>
    <w:rsid w:val="00FE136D"/>
    <w:rsid w:val="00FF00D9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locked/>
    <w:rsid w:val="006E0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customStyle="1" w:styleId="Heading1Char">
    <w:name w:val="Heading 1 Char"/>
    <w:basedOn w:val="DefaultParagraphFont"/>
    <w:link w:val="Heading1"/>
    <w:rsid w:val="006E07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paragraph" w:customStyle="1" w:styleId="TableParagraph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778EEA-2F12-448F-AC0E-523C8AF24FC0}"/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2159</Words>
  <Characters>12312</Characters>
  <Application>Microsoft Office Word</Application>
  <DocSecurity>0</DocSecurity>
  <Lines>102</Lines>
  <Paragraphs>28</Paragraphs>
  <ScaleCrop>false</ScaleCrop>
  <Company/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Cristina Dumitru</cp:lastModifiedBy>
  <cp:revision>148</cp:revision>
  <dcterms:created xsi:type="dcterms:W3CDTF">2024-03-11T12:36:00Z</dcterms:created>
  <dcterms:modified xsi:type="dcterms:W3CDTF">2025-09-22T12:38:00Z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